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3CBC" w14:textId="77777777" w:rsidR="00835737" w:rsidRPr="00E70D47" w:rsidRDefault="00835737" w:rsidP="00835737">
      <w:pPr>
        <w:pStyle w:val="EndNoteBibliography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70D47">
        <w:rPr>
          <w:rFonts w:ascii="Times New Roman" w:hAnsi="Times New Roman" w:cs="Times New Roman"/>
          <w:sz w:val="24"/>
          <w:szCs w:val="24"/>
        </w:rPr>
        <w:t xml:space="preserve">Table 1. Charge transfer resistance values for the proportions of </w:t>
      </w:r>
      <w:r>
        <w:rPr>
          <w:rFonts w:ascii="Times New Roman" w:hAnsi="Times New Roman" w:cs="Times New Roman"/>
          <w:sz w:val="24"/>
          <w:szCs w:val="24"/>
        </w:rPr>
        <w:t>proposed</w:t>
      </w:r>
      <w:r w:rsidRPr="00E70D47">
        <w:rPr>
          <w:rFonts w:ascii="Times New Roman" w:hAnsi="Times New Roman" w:cs="Times New Roman"/>
          <w:sz w:val="24"/>
          <w:szCs w:val="24"/>
        </w:rPr>
        <w:t xml:space="preserve"> inks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2879"/>
        <w:gridCol w:w="2828"/>
      </w:tblGrid>
      <w:tr w:rsidR="00835737" w:rsidRPr="009941AC" w14:paraId="1A458146" w14:textId="77777777" w:rsidTr="0082319A">
        <w:trPr>
          <w:trHeight w:val="980"/>
          <w:jc w:val="center"/>
        </w:trPr>
        <w:tc>
          <w:tcPr>
            <w:tcW w:w="30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5C4B4D6" w14:textId="77777777" w:rsidR="00835737" w:rsidRPr="009941AC" w:rsidRDefault="00835737" w:rsidP="0082319A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proportion of GP:SHL</w:t>
            </w:r>
          </w:p>
          <w:p w14:paraId="465A6CF4" w14:textId="77777777" w:rsidR="00835737" w:rsidRPr="009941AC" w:rsidRDefault="00835737" w:rsidP="0082319A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(% w/w)</w:t>
            </w:r>
          </w:p>
        </w:tc>
        <w:tc>
          <w:tcPr>
            <w:tcW w:w="28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612A61C" w14:textId="77777777" w:rsidR="00835737" w:rsidRPr="00FA6EE7" w:rsidRDefault="00835737" w:rsidP="0082319A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Charge transfer resistance</w:t>
            </w:r>
          </w:p>
          <w:p w14:paraId="647B2F00" w14:textId="77777777" w:rsidR="00835737" w:rsidRPr="00FA6EE7" w:rsidRDefault="00835737" w:rsidP="0082319A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(K</w:t>
            </w:r>
            <w:r w:rsidRPr="00FA6EE7">
              <w:rPr>
                <w:rFonts w:ascii="Symbol" w:hAnsi="Symbol" w:cs="Times New Roman"/>
                <w:sz w:val="24"/>
                <w:szCs w:val="24"/>
              </w:rPr>
              <w:sym w:font="Symbol" w:char="F057"/>
            </w:r>
            <w:r w:rsidRPr="00FA6EE7">
              <w:rPr>
                <w:rFonts w:ascii="Symbol" w:hAnsi="Symbol" w:cs="Times New Roman"/>
                <w:sz w:val="24"/>
                <w:szCs w:val="24"/>
              </w:rPr>
              <w:t>)</w:t>
            </w:r>
          </w:p>
        </w:tc>
        <w:tc>
          <w:tcPr>
            <w:tcW w:w="28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4C700FE" w14:textId="77777777" w:rsidR="00835737" w:rsidRPr="00FA6EE7" w:rsidRDefault="00835737" w:rsidP="0082319A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Chi-square</w:t>
            </w:r>
          </w:p>
          <w:p w14:paraId="417E02FD" w14:textId="77777777" w:rsidR="00835737" w:rsidRPr="00FA6EE7" w:rsidRDefault="00835737" w:rsidP="0082319A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χ</w:t>
            </w:r>
            <w:r w:rsidRPr="00FA6E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2</w:t>
            </w:r>
          </w:p>
        </w:tc>
      </w:tr>
      <w:tr w:rsidR="00835737" w:rsidRPr="009941AC" w14:paraId="582FC2CA" w14:textId="77777777" w:rsidTr="0082319A">
        <w:trPr>
          <w:jc w:val="center"/>
        </w:trPr>
        <w:tc>
          <w:tcPr>
            <w:tcW w:w="301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7D1A57" w14:textId="77777777" w:rsidR="00835737" w:rsidRPr="009941AC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40:60</w:t>
            </w:r>
          </w:p>
        </w:tc>
        <w:tc>
          <w:tcPr>
            <w:tcW w:w="287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68797D" w14:textId="77777777" w:rsidR="00835737" w:rsidRPr="00FA6EE7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0.79</w:t>
            </w:r>
          </w:p>
        </w:tc>
        <w:tc>
          <w:tcPr>
            <w:tcW w:w="28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0969E1" w14:textId="77777777" w:rsidR="00835737" w:rsidRPr="001F445F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val="en-GB"/>
              </w:rPr>
            </w:pPr>
            <w:r w:rsidRPr="001F44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0.00262</w:t>
            </w:r>
          </w:p>
        </w:tc>
      </w:tr>
      <w:tr w:rsidR="00835737" w:rsidRPr="009941AC" w14:paraId="06A70AAD" w14:textId="77777777" w:rsidTr="0082319A">
        <w:trPr>
          <w:jc w:val="center"/>
        </w:trPr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0A85C" w14:textId="77777777" w:rsidR="00835737" w:rsidRPr="009941AC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50:50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79742" w14:textId="77777777" w:rsidR="00835737" w:rsidRPr="00FA6EE7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0.40 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</w:tcPr>
          <w:p w14:paraId="5B527D8A" w14:textId="77777777" w:rsidR="00835737" w:rsidRPr="001F445F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F44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0.00267</w:t>
            </w:r>
          </w:p>
        </w:tc>
      </w:tr>
      <w:tr w:rsidR="00835737" w:rsidRPr="009941AC" w14:paraId="0EB3C88D" w14:textId="77777777" w:rsidTr="0082319A">
        <w:trPr>
          <w:jc w:val="center"/>
        </w:trPr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145C5" w14:textId="77777777" w:rsidR="00835737" w:rsidRPr="009941AC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60:40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E75E0" w14:textId="77777777" w:rsidR="00835737" w:rsidRPr="00FA6EE7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0.06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</w:tcPr>
          <w:p w14:paraId="182CEE04" w14:textId="77777777" w:rsidR="00835737" w:rsidRPr="001F445F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val="en-GB"/>
              </w:rPr>
            </w:pPr>
            <w:r w:rsidRPr="001F44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0.00012</w:t>
            </w:r>
          </w:p>
        </w:tc>
      </w:tr>
      <w:tr w:rsidR="00835737" w:rsidRPr="009941AC" w14:paraId="0A634DC1" w14:textId="77777777" w:rsidTr="0082319A">
        <w:trPr>
          <w:jc w:val="center"/>
        </w:trPr>
        <w:tc>
          <w:tcPr>
            <w:tcW w:w="30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2218C6F" w14:textId="77777777" w:rsidR="00835737" w:rsidRPr="009941AC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70:30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C15558A" w14:textId="77777777" w:rsidR="00835737" w:rsidRPr="00FA6EE7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A6E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97F7974" w14:textId="77777777" w:rsidR="00835737" w:rsidRPr="001F445F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val="en-GB"/>
              </w:rPr>
            </w:pPr>
            <w:r w:rsidRPr="001F44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0.00384</w:t>
            </w:r>
          </w:p>
        </w:tc>
      </w:tr>
    </w:tbl>
    <w:p w14:paraId="1EAAAD32" w14:textId="77777777" w:rsidR="00835737" w:rsidRPr="000864C0" w:rsidRDefault="00835737" w:rsidP="00835737">
      <w:pPr>
        <w:pStyle w:val="EndNoteBibliography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B8C9F7F" w14:textId="77777777" w:rsidR="00835737" w:rsidRDefault="00835737" w:rsidP="00835737">
      <w:pPr>
        <w:pStyle w:val="EndNoteBibliography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Table </w:t>
      </w:r>
      <w:r w:rsidRPr="002559DC">
        <w:rPr>
          <w:rFonts w:ascii="Times New Roman" w:hAnsi="Times New Roman" w:cs="Times New Roman"/>
          <w:sz w:val="24"/>
          <w:szCs w:val="24"/>
          <w:lang w:val="en-GB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Electroactive area values for the </w:t>
      </w:r>
      <w:r w:rsidRPr="000B16D4">
        <w:rPr>
          <w:rFonts w:ascii="Times New Roman" w:hAnsi="Times New Roman" w:cs="Times New Roman"/>
          <w:sz w:val="24"/>
          <w:szCs w:val="24"/>
        </w:rPr>
        <w:t>SHL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B16D4">
        <w:rPr>
          <w:rFonts w:ascii="Times New Roman" w:hAnsi="Times New Roman" w:cs="Times New Roman"/>
          <w:sz w:val="24"/>
          <w:szCs w:val="24"/>
        </w:rPr>
        <w:t>GP</w:t>
      </w:r>
      <w:r>
        <w:rPr>
          <w:rFonts w:ascii="Times New Roman" w:hAnsi="Times New Roman" w:cs="Times New Roman"/>
          <w:sz w:val="24"/>
          <w:szCs w:val="24"/>
        </w:rPr>
        <w:t>/WP sensors with different proportions of GP and SHL.</w:t>
      </w:r>
    </w:p>
    <w:tbl>
      <w:tblPr>
        <w:tblW w:w="6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9"/>
        <w:gridCol w:w="2820"/>
      </w:tblGrid>
      <w:tr w:rsidR="00835737" w:rsidRPr="009941AC" w14:paraId="5C96C1B2" w14:textId="77777777" w:rsidTr="00835737">
        <w:trPr>
          <w:jc w:val="center"/>
        </w:trPr>
        <w:tc>
          <w:tcPr>
            <w:tcW w:w="38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474A270" w14:textId="74B042EB" w:rsidR="00835737" w:rsidRPr="009941AC" w:rsidRDefault="00835737" w:rsidP="00835737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Proportion of GP:SHL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(% w/w)</w:t>
            </w:r>
          </w:p>
        </w:tc>
        <w:tc>
          <w:tcPr>
            <w:tcW w:w="2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9765B3B" w14:textId="1E81C216" w:rsidR="00835737" w:rsidRPr="000B56AA" w:rsidRDefault="00835737" w:rsidP="00835737">
            <w:pPr>
              <w:pStyle w:val="EndNoteBibliography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 w:rsidRPr="000B56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Electroactive area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B56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(cm</w:t>
            </w:r>
            <w:r w:rsidRPr="000B56A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2</w:t>
            </w:r>
            <w:r w:rsidRPr="000B56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835737" w:rsidRPr="009941AC" w14:paraId="6BB1A0D1" w14:textId="77777777" w:rsidTr="00835737">
        <w:trPr>
          <w:jc w:val="center"/>
        </w:trPr>
        <w:tc>
          <w:tcPr>
            <w:tcW w:w="38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91ACA6" w14:textId="77777777" w:rsidR="00835737" w:rsidRPr="009941AC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40:60</w:t>
            </w:r>
          </w:p>
        </w:tc>
        <w:tc>
          <w:tcPr>
            <w:tcW w:w="28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5990DC2" w14:textId="77777777" w:rsidR="00835737" w:rsidRPr="00B709D0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0.16</w:t>
            </w:r>
          </w:p>
        </w:tc>
      </w:tr>
      <w:tr w:rsidR="00835737" w:rsidRPr="009941AC" w14:paraId="01B2B1C3" w14:textId="77777777" w:rsidTr="00835737">
        <w:trPr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36DDC" w14:textId="77777777" w:rsidR="00835737" w:rsidRPr="009941AC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50:50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1F4A552F" w14:textId="77777777" w:rsidR="00835737" w:rsidRPr="00B709D0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0.29</w:t>
            </w:r>
          </w:p>
        </w:tc>
      </w:tr>
      <w:tr w:rsidR="00835737" w:rsidRPr="009941AC" w14:paraId="29F7B9A2" w14:textId="77777777" w:rsidTr="00835737">
        <w:trPr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A3678" w14:textId="77777777" w:rsidR="00835737" w:rsidRPr="009941AC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60:40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02E86F05" w14:textId="77777777" w:rsidR="00835737" w:rsidRPr="00B709D0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0.58</w:t>
            </w:r>
          </w:p>
        </w:tc>
      </w:tr>
      <w:tr w:rsidR="00835737" w:rsidRPr="009941AC" w14:paraId="04D13919" w14:textId="77777777" w:rsidTr="00835737">
        <w:trPr>
          <w:jc w:val="center"/>
        </w:trPr>
        <w:tc>
          <w:tcPr>
            <w:tcW w:w="38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F9932C7" w14:textId="77777777" w:rsidR="00835737" w:rsidRPr="00B709D0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70:30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33DCC3E" w14:textId="77777777" w:rsidR="00835737" w:rsidRPr="00B709D0" w:rsidRDefault="00835737" w:rsidP="0082319A">
            <w:pPr>
              <w:pStyle w:val="EndNoteBibliography"/>
              <w:spacing w:after="0" w:line="48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en-GB"/>
              </w:rPr>
            </w:pPr>
            <w:r w:rsidRPr="009941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0.77</w:t>
            </w:r>
          </w:p>
        </w:tc>
      </w:tr>
    </w:tbl>
    <w:p w14:paraId="69882E00" w14:textId="77777777" w:rsidR="00835737" w:rsidRDefault="00835737" w:rsidP="00835737">
      <w:pPr>
        <w:pStyle w:val="EndNoteBibliography"/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GB"/>
        </w:rPr>
      </w:pPr>
    </w:p>
    <w:p w14:paraId="3899C161" w14:textId="77777777" w:rsidR="00835737" w:rsidRDefault="00835737" w:rsidP="00835737">
      <w:pPr>
        <w:spacing w:line="480" w:lineRule="auto"/>
        <w:rPr>
          <w:rFonts w:ascii="Times New Roman" w:hAnsi="Times New Roman"/>
          <w:sz w:val="24"/>
          <w:szCs w:val="24"/>
        </w:rPr>
      </w:pPr>
      <w:r w:rsidRPr="002559DC">
        <w:rPr>
          <w:rFonts w:ascii="Times New Roman" w:hAnsi="Times New Roman"/>
          <w:sz w:val="24"/>
          <w:szCs w:val="24"/>
        </w:rPr>
        <w:t>Table 3</w:t>
      </w:r>
      <w:r>
        <w:rPr>
          <w:rFonts w:ascii="Times New Roman" w:hAnsi="Times New Roman"/>
          <w:sz w:val="24"/>
          <w:szCs w:val="24"/>
        </w:rPr>
        <w:t>.</w:t>
      </w:r>
      <w:r w:rsidRPr="00EA26DA">
        <w:t xml:space="preserve"> </w:t>
      </w:r>
      <w:r w:rsidRPr="00EA26DA">
        <w:rPr>
          <w:rFonts w:ascii="Times New Roman" w:hAnsi="Times New Roman"/>
          <w:sz w:val="24"/>
          <w:szCs w:val="24"/>
        </w:rPr>
        <w:t>Determination of SMX through additions to water and milk samples</w:t>
      </w:r>
    </w:p>
    <w:tbl>
      <w:tblPr>
        <w:tblW w:w="8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09"/>
        <w:gridCol w:w="2480"/>
        <w:gridCol w:w="1784"/>
        <w:gridCol w:w="146"/>
      </w:tblGrid>
      <w:tr w:rsidR="00835737" w:rsidRPr="007E3A24" w14:paraId="126B2418" w14:textId="77777777" w:rsidTr="0082319A">
        <w:trPr>
          <w:gridAfter w:val="1"/>
          <w:wAfter w:w="146" w:type="dxa"/>
          <w:trHeight w:val="552"/>
        </w:trPr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779B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Sample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7F8C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Spiked (</w:t>
            </w:r>
            <w:r w:rsidRPr="007E3A24">
              <w:rPr>
                <w:rFonts w:ascii="Symbol" w:eastAsia="Times New Roman" w:hAnsi="Symbol"/>
                <w:b/>
                <w:bCs/>
                <w:sz w:val="24"/>
                <w:szCs w:val="24"/>
                <w:lang w:eastAsia="pt-BR"/>
              </w:rPr>
              <w:t>m</w:t>
            </w: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mol L</w:t>
            </w:r>
            <w:r w:rsidRPr="007E3A24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-1</w:t>
            </w: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248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2302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Found (</w:t>
            </w:r>
            <w:r w:rsidRPr="007E3A24">
              <w:rPr>
                <w:rFonts w:ascii="Symbol" w:eastAsia="Times New Roman" w:hAnsi="Symbol"/>
                <w:b/>
                <w:bCs/>
                <w:sz w:val="24"/>
                <w:szCs w:val="24"/>
                <w:lang w:eastAsia="pt-BR"/>
              </w:rPr>
              <w:t>m</w:t>
            </w: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mol L</w:t>
            </w:r>
            <w:r w:rsidRPr="007E3A24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-1</w:t>
            </w: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178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AD507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Recovery (%)</w:t>
            </w:r>
          </w:p>
        </w:tc>
      </w:tr>
      <w:tr w:rsidR="00835737" w:rsidRPr="007E3A24" w14:paraId="5D091824" w14:textId="77777777" w:rsidTr="0082319A">
        <w:trPr>
          <w:trHeight w:val="288"/>
        </w:trPr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33546930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48542051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  <w:hideMark/>
          </w:tcPr>
          <w:p w14:paraId="5E68A102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EF5C4E8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E9CC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pt-BR"/>
              </w:rPr>
            </w:pPr>
          </w:p>
        </w:tc>
      </w:tr>
      <w:tr w:rsidR="00835737" w:rsidRPr="007E3A24" w14:paraId="39822ECE" w14:textId="77777777" w:rsidTr="0082319A">
        <w:trPr>
          <w:trHeight w:val="418"/>
        </w:trPr>
        <w:tc>
          <w:tcPr>
            <w:tcW w:w="2127" w:type="dxa"/>
            <w:vMerge w:val="restar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EFFF89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Well water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22AF82B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248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557F7BD0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11 ± 1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AD83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110 ± 1</w:t>
            </w:r>
          </w:p>
        </w:tc>
        <w:tc>
          <w:tcPr>
            <w:tcW w:w="146" w:type="dxa"/>
            <w:vAlign w:val="center"/>
            <w:hideMark/>
          </w:tcPr>
          <w:p w14:paraId="05B630FE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t-BR"/>
              </w:rPr>
            </w:pPr>
          </w:p>
        </w:tc>
      </w:tr>
      <w:tr w:rsidR="00835737" w:rsidRPr="007E3A24" w14:paraId="3AFF6BAC" w14:textId="77777777" w:rsidTr="0082319A">
        <w:trPr>
          <w:trHeight w:val="370"/>
        </w:trPr>
        <w:tc>
          <w:tcPr>
            <w:tcW w:w="2127" w:type="dxa"/>
            <w:vMerge/>
            <w:tcBorders>
              <w:top w:val="nil"/>
              <w:left w:val="nil"/>
              <w:bottom w:val="single" w:sz="12" w:space="0" w:color="auto"/>
            </w:tcBorders>
            <w:vAlign w:val="center"/>
            <w:hideMark/>
          </w:tcPr>
          <w:p w14:paraId="524A66F5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CA1D8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70</w:t>
            </w:r>
          </w:p>
        </w:tc>
        <w:tc>
          <w:tcPr>
            <w:tcW w:w="2480" w:type="dxa"/>
            <w:tcBorders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990F7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64 ± 1</w:t>
            </w:r>
          </w:p>
        </w:tc>
        <w:tc>
          <w:tcPr>
            <w:tcW w:w="178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B4819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91 ± 1</w:t>
            </w:r>
          </w:p>
        </w:tc>
        <w:tc>
          <w:tcPr>
            <w:tcW w:w="146" w:type="dxa"/>
            <w:vAlign w:val="center"/>
            <w:hideMark/>
          </w:tcPr>
          <w:p w14:paraId="7B099E00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t-BR"/>
              </w:rPr>
            </w:pPr>
          </w:p>
        </w:tc>
      </w:tr>
      <w:tr w:rsidR="00835737" w:rsidRPr="007E3A24" w14:paraId="089C18E6" w14:textId="77777777" w:rsidTr="0082319A">
        <w:trPr>
          <w:trHeight w:val="360"/>
        </w:trPr>
        <w:tc>
          <w:tcPr>
            <w:tcW w:w="2127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811E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 xml:space="preserve">Tap water  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B061B8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2480" w:type="dxa"/>
            <w:tcBorders>
              <w:top w:val="single" w:sz="12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22A1B992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10 ± 1</w:t>
            </w:r>
          </w:p>
        </w:tc>
        <w:tc>
          <w:tcPr>
            <w:tcW w:w="1784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D4E8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100 ± 1</w:t>
            </w:r>
          </w:p>
        </w:tc>
        <w:tc>
          <w:tcPr>
            <w:tcW w:w="146" w:type="dxa"/>
            <w:vAlign w:val="center"/>
            <w:hideMark/>
          </w:tcPr>
          <w:p w14:paraId="37EC8AF8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t-BR"/>
              </w:rPr>
            </w:pPr>
          </w:p>
        </w:tc>
      </w:tr>
      <w:tr w:rsidR="00835737" w:rsidRPr="007E3A24" w14:paraId="62F551B5" w14:textId="77777777" w:rsidTr="0082319A">
        <w:trPr>
          <w:trHeight w:val="360"/>
        </w:trPr>
        <w:tc>
          <w:tcPr>
            <w:tcW w:w="2127" w:type="dxa"/>
            <w:vMerge/>
            <w:tcBorders>
              <w:top w:val="nil"/>
              <w:left w:val="nil"/>
              <w:bottom w:val="single" w:sz="12" w:space="0" w:color="auto"/>
            </w:tcBorders>
            <w:vAlign w:val="center"/>
            <w:hideMark/>
          </w:tcPr>
          <w:p w14:paraId="6773E9FF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4CF8D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70</w:t>
            </w:r>
          </w:p>
        </w:tc>
        <w:tc>
          <w:tcPr>
            <w:tcW w:w="2480" w:type="dxa"/>
            <w:tcBorders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FB2DFD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65 ± 4</w:t>
            </w:r>
          </w:p>
        </w:tc>
        <w:tc>
          <w:tcPr>
            <w:tcW w:w="178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00D9E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93</w:t>
            </w:r>
            <w:r w:rsidRPr="001F44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5</w:t>
            </w:r>
          </w:p>
        </w:tc>
        <w:tc>
          <w:tcPr>
            <w:tcW w:w="146" w:type="dxa"/>
            <w:vAlign w:val="center"/>
            <w:hideMark/>
          </w:tcPr>
          <w:p w14:paraId="43B71D8C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t-BR"/>
              </w:rPr>
            </w:pPr>
          </w:p>
        </w:tc>
      </w:tr>
      <w:tr w:rsidR="00835737" w:rsidRPr="007E3A24" w14:paraId="1A3DD638" w14:textId="77777777" w:rsidTr="0082319A">
        <w:trPr>
          <w:trHeight w:val="360"/>
        </w:trPr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8263" w14:textId="77777777" w:rsidR="00835737" w:rsidRPr="007E3A24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7E3A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Milk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316EA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2480" w:type="dxa"/>
            <w:tcBorders>
              <w:top w:val="single" w:sz="12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0502C7BC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31 ± 4</w:t>
            </w:r>
          </w:p>
        </w:tc>
        <w:tc>
          <w:tcPr>
            <w:tcW w:w="1784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17AA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103 ± 13</w:t>
            </w:r>
          </w:p>
        </w:tc>
        <w:tc>
          <w:tcPr>
            <w:tcW w:w="146" w:type="dxa"/>
            <w:vAlign w:val="center"/>
            <w:hideMark/>
          </w:tcPr>
          <w:p w14:paraId="7C59C094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t-BR"/>
              </w:rPr>
            </w:pPr>
          </w:p>
        </w:tc>
      </w:tr>
      <w:tr w:rsidR="00835737" w:rsidRPr="007E3A24" w14:paraId="793F2263" w14:textId="77777777" w:rsidTr="0082319A">
        <w:trPr>
          <w:trHeight w:val="384"/>
        </w:trPr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514FDDE9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11CFF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70</w:t>
            </w:r>
          </w:p>
        </w:tc>
        <w:tc>
          <w:tcPr>
            <w:tcW w:w="2480" w:type="dxa"/>
            <w:tcBorders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224F3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70 ± 4</w:t>
            </w:r>
          </w:p>
        </w:tc>
        <w:tc>
          <w:tcPr>
            <w:tcW w:w="178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04E9A" w14:textId="77777777" w:rsidR="00835737" w:rsidRPr="001F445F" w:rsidRDefault="00835737" w:rsidP="0082319A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F445F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Pr="001F445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6</w:t>
            </w:r>
          </w:p>
        </w:tc>
        <w:tc>
          <w:tcPr>
            <w:tcW w:w="146" w:type="dxa"/>
            <w:vAlign w:val="center"/>
            <w:hideMark/>
          </w:tcPr>
          <w:p w14:paraId="40A446DB" w14:textId="77777777" w:rsidR="00835737" w:rsidRPr="007E3A24" w:rsidRDefault="00835737" w:rsidP="0082319A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</w:tbl>
    <w:p w14:paraId="06565CAF" w14:textId="77777777" w:rsidR="00835737" w:rsidRPr="00944272" w:rsidRDefault="00835737" w:rsidP="00835737">
      <w:pPr>
        <w:spacing w:line="480" w:lineRule="auto"/>
        <w:rPr>
          <w:rFonts w:ascii="Times New Roman" w:hAnsi="Times New Roman"/>
          <w:sz w:val="24"/>
          <w:szCs w:val="24"/>
        </w:rPr>
      </w:pPr>
      <w:r w:rsidRPr="00944272">
        <w:rPr>
          <w:rFonts w:ascii="Times New Roman" w:hAnsi="Times New Roman"/>
          <w:sz w:val="24"/>
          <w:szCs w:val="24"/>
        </w:rPr>
        <w:lastRenderedPageBreak/>
        <w:t xml:space="preserve">Table 4. Comparison between the analytical performances for SMX in screen printed </w:t>
      </w:r>
      <w:r w:rsidRPr="00944272">
        <w:rPr>
          <w:rFonts w:ascii="Georgia" w:hAnsi="Georgia"/>
        </w:rPr>
        <w:t>and other carbon-based electrodes</w:t>
      </w:r>
      <w:r w:rsidRPr="00944272">
        <w:rPr>
          <w:rFonts w:ascii="Times New Roman" w:hAnsi="Times New Roman"/>
          <w:sz w:val="24"/>
          <w:szCs w:val="24"/>
        </w:rPr>
        <w:t xml:space="preserve"> proposed in the literature</w:t>
      </w:r>
    </w:p>
    <w:tbl>
      <w:tblPr>
        <w:tblW w:w="8801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4"/>
        <w:gridCol w:w="1956"/>
        <w:gridCol w:w="1916"/>
        <w:gridCol w:w="1286"/>
        <w:gridCol w:w="1273"/>
        <w:gridCol w:w="146"/>
      </w:tblGrid>
      <w:tr w:rsidR="00835737" w:rsidRPr="009941AC" w14:paraId="05F789A5" w14:textId="77777777" w:rsidTr="0082319A">
        <w:trPr>
          <w:gridAfter w:val="1"/>
          <w:wAfter w:w="146" w:type="dxa"/>
          <w:trHeight w:val="589"/>
        </w:trPr>
        <w:tc>
          <w:tcPr>
            <w:tcW w:w="22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2E4FC2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proofErr w:type="spell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Electrode</w:t>
            </w:r>
            <w:proofErr w:type="spellEnd"/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6A96F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Linear Range (</w:t>
            </w:r>
            <w:r w:rsidRPr="0096051C">
              <w:rPr>
                <w:rFonts w:ascii="Symbol" w:eastAsia="Times New Roman" w:hAnsi="Symbol"/>
                <w:b/>
                <w:bCs/>
                <w:lang w:val="pt-BR" w:eastAsia="pt-BR"/>
              </w:rPr>
              <w:t>m</w:t>
            </w: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mol L</w:t>
            </w:r>
            <w:r w:rsidRPr="0096051C">
              <w:rPr>
                <w:rFonts w:ascii="Symbol" w:eastAsia="Times New Roman" w:hAnsi="Symbol"/>
                <w:b/>
                <w:bCs/>
                <w:vertAlign w:val="superscript"/>
                <w:lang w:val="pt-BR" w:eastAsia="pt-BR"/>
              </w:rPr>
              <w:t>-1</w:t>
            </w: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)</w:t>
            </w:r>
          </w:p>
        </w:tc>
        <w:tc>
          <w:tcPr>
            <w:tcW w:w="1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EC6A5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proofErr w:type="gram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LOD  (</w:t>
            </w:r>
            <w:proofErr w:type="gramEnd"/>
            <w:r w:rsidRPr="0096051C">
              <w:rPr>
                <w:rFonts w:ascii="Symbol" w:eastAsia="Times New Roman" w:hAnsi="Symbol"/>
                <w:b/>
                <w:bCs/>
                <w:lang w:val="pt-BR" w:eastAsia="pt-BR"/>
              </w:rPr>
              <w:t>m</w:t>
            </w: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mol L</w:t>
            </w:r>
            <w:r w:rsidRPr="0096051C">
              <w:rPr>
                <w:rFonts w:ascii="Symbol" w:eastAsia="Times New Roman" w:hAnsi="Symbol"/>
                <w:b/>
                <w:bCs/>
                <w:vertAlign w:val="superscript"/>
                <w:lang w:val="pt-BR" w:eastAsia="pt-BR"/>
              </w:rPr>
              <w:t>-1</w:t>
            </w: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 xml:space="preserve">) 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747B7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proofErr w:type="spell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Technique</w:t>
            </w:r>
            <w:proofErr w:type="spellEnd"/>
          </w:p>
        </w:tc>
        <w:tc>
          <w:tcPr>
            <w:tcW w:w="12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6EB8E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proofErr w:type="spell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Reference</w:t>
            </w:r>
            <w:proofErr w:type="spellEnd"/>
          </w:p>
        </w:tc>
      </w:tr>
      <w:tr w:rsidR="00835737" w:rsidRPr="00C81065" w14:paraId="21BCFBB4" w14:textId="77777777" w:rsidTr="0082319A">
        <w:trPr>
          <w:gridAfter w:val="1"/>
          <w:wAfter w:w="146" w:type="dxa"/>
          <w:trHeight w:val="903"/>
        </w:trPr>
        <w:tc>
          <w:tcPr>
            <w:tcW w:w="222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04683784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proofErr w:type="spellStart"/>
            <w:r w:rsidRPr="00944272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Paper-based</w:t>
            </w:r>
            <w:proofErr w:type="spellEnd"/>
            <w:r w:rsidRPr="00944272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 xml:space="preserve"> </w:t>
            </w:r>
            <w:proofErr w:type="spellStart"/>
            <w:r w:rsidRPr="009941AC">
              <w:rPr>
                <w:rFonts w:ascii="Times New Roman" w:hAnsi="Times New Roman"/>
                <w:b/>
                <w:bCs/>
                <w:sz w:val="24"/>
                <w:szCs w:val="24"/>
              </w:rPr>
              <w:t>rGNR</w:t>
            </w:r>
            <w:proofErr w:type="spellEnd"/>
          </w:p>
        </w:tc>
        <w:tc>
          <w:tcPr>
            <w:tcW w:w="195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2D267BC0" w14:textId="77777777" w:rsidR="00835737" w:rsidRPr="00115F5D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115F5D">
              <w:rPr>
                <w:rFonts w:ascii="Times New Roman" w:eastAsia="Times New Roman" w:hAnsi="Times New Roman"/>
                <w:lang w:val="pt-BR" w:eastAsia="pt-BR"/>
              </w:rPr>
              <w:t>1</w:t>
            </w:r>
            <w:r w:rsidRPr="009941A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 w:rsidRPr="00115F5D">
              <w:rPr>
                <w:rFonts w:ascii="Times New Roman" w:eastAsia="Times New Roman" w:hAnsi="Times New Roman"/>
                <w:lang w:val="pt-BR" w:eastAsia="pt-BR"/>
              </w:rPr>
              <w:t>-10</w:t>
            </w:r>
            <w:r>
              <w:rPr>
                <w:rFonts w:ascii="Times New Roman" w:eastAsia="Times New Roman" w:hAnsi="Times New Roman"/>
                <w:lang w:val="pt-BR" w:eastAsia="pt-BR"/>
              </w:rPr>
              <w:t>.0</w:t>
            </w:r>
          </w:p>
        </w:tc>
        <w:tc>
          <w:tcPr>
            <w:tcW w:w="1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8664274" w14:textId="77777777" w:rsidR="00835737" w:rsidRPr="009E2D96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E2D96">
              <w:rPr>
                <w:rFonts w:ascii="Times New Roman" w:eastAsia="Times New Roman" w:hAnsi="Times New Roman"/>
                <w:lang w:val="pt-BR" w:eastAsia="pt-BR"/>
              </w:rPr>
              <w:t>0</w:t>
            </w:r>
            <w:r>
              <w:rPr>
                <w:rFonts w:ascii="Times New Roman" w:eastAsia="Times New Roman" w:hAnsi="Times New Roman"/>
                <w:lang w:val="pt-BR" w:eastAsia="pt-BR"/>
              </w:rPr>
              <w:t>.</w:t>
            </w:r>
            <w:r w:rsidRPr="009E2D96">
              <w:rPr>
                <w:rFonts w:ascii="Times New Roman" w:eastAsia="Times New Roman" w:hAnsi="Times New Roman"/>
                <w:lang w:val="pt-BR" w:eastAsia="pt-BR"/>
              </w:rPr>
              <w:t>09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46101D7A" w14:textId="77777777" w:rsidR="00835737" w:rsidRPr="009E2D96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E2D96">
              <w:rPr>
                <w:rFonts w:ascii="Times New Roman" w:eastAsia="Times New Roman" w:hAnsi="Times New Roman"/>
                <w:lang w:val="pt-BR" w:eastAsia="pt-BR"/>
              </w:rPr>
              <w:t>DPV</w:t>
            </w:r>
          </w:p>
        </w:tc>
        <w:tc>
          <w:tcPr>
            <w:tcW w:w="127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7347BA24" w14:textId="77777777" w:rsidR="00835737" w:rsidRPr="007E3A24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7E3A24">
              <w:rPr>
                <w:rFonts w:ascii="Times New Roman" w:eastAsia="Times New Roman" w:hAnsi="Times New Roman"/>
                <w:lang w:val="pt-BR" w:eastAsia="pt-BR"/>
              </w:rPr>
              <w:fldChar w:fldCharType="begin"/>
            </w:r>
            <w:r w:rsidRPr="007E3A24">
              <w:rPr>
                <w:rFonts w:ascii="Times New Roman" w:eastAsia="Times New Roman" w:hAnsi="Times New Roman"/>
                <w:lang w:val="pt-BR" w:eastAsia="pt-BR"/>
              </w:rPr>
              <w:instrText xml:space="preserve"> ADDIN EN.CITE &lt;EndNote&gt;&lt;Cite&gt;&lt;Author&gt;Martins&lt;/Author&gt;&lt;RecNum&gt;127&lt;/RecNum&gt;&lt;DisplayText&gt;[53]&lt;/DisplayText&gt;&lt;record&gt;&lt;rec-number&gt;127&lt;/rec-number&gt;&lt;foreign-keys&gt;&lt;key app="EN" db-id="dr9022zxhvtvpiefv9kx5p2vexfapwpezpe5" timestamp="1611019608"&gt;127&lt;/key&gt;&lt;/foreign-keys&gt;&lt;ref-type name="Journal Article"&gt;17&lt;/ref-type&gt;&lt;contributors&gt;&lt;authors&gt;&lt;author&gt;Martins, Thiago S&lt;/author&gt;&lt;author&gt;Bott-Neto, José L&lt;/author&gt;&lt;author&gt;Oliveira Jr, Osvaldo N&lt;/author&gt;&lt;author&gt;Machado, Sergio AS %J Journal of Electroanalytical Chemistry&lt;/author&gt;&lt;/authors&gt;&lt;/contributors&gt;&lt;titles&gt;&lt;title&gt;based electrochemical sensors with reduced graphene nanoribbons for simultaneous detection of sulfamethoxazole and trimethoprim in water samples&lt;/title&gt;&lt;/titles&gt;&lt;pages&gt;114985&lt;/pages&gt;&lt;dates&gt;&lt;/dates&gt;&lt;isbn&gt;1572-6657&lt;/isbn&gt;&lt;urls&gt;&lt;/urls&gt;&lt;/record&gt;&lt;/Cite&gt;&lt;/EndNote&gt;</w:instrText>
            </w:r>
            <w:r w:rsidRPr="007E3A24">
              <w:rPr>
                <w:rFonts w:ascii="Times New Roman" w:eastAsia="Times New Roman" w:hAnsi="Times New Roman"/>
                <w:lang w:val="pt-BR" w:eastAsia="pt-BR"/>
              </w:rPr>
              <w:fldChar w:fldCharType="separate"/>
            </w:r>
            <w:r w:rsidRPr="007E3A24">
              <w:rPr>
                <w:rFonts w:ascii="Times New Roman" w:eastAsia="Times New Roman" w:hAnsi="Times New Roman"/>
                <w:noProof/>
                <w:lang w:val="pt-BR" w:eastAsia="pt-BR"/>
              </w:rPr>
              <w:t>[</w:t>
            </w:r>
            <w:r>
              <w:rPr>
                <w:rFonts w:ascii="Times New Roman" w:eastAsia="Times New Roman" w:hAnsi="Times New Roman"/>
                <w:noProof/>
                <w:lang w:val="pt-BR" w:eastAsia="pt-BR"/>
              </w:rPr>
              <w:t>60</w:t>
            </w:r>
            <w:r w:rsidRPr="007E3A24">
              <w:rPr>
                <w:rFonts w:ascii="Times New Roman" w:eastAsia="Times New Roman" w:hAnsi="Times New Roman"/>
                <w:noProof/>
                <w:lang w:val="pt-BR" w:eastAsia="pt-BR"/>
              </w:rPr>
              <w:t>]</w:t>
            </w:r>
            <w:r w:rsidRPr="007E3A24">
              <w:rPr>
                <w:rFonts w:ascii="Times New Roman" w:eastAsia="Times New Roman" w:hAnsi="Times New Roman"/>
                <w:lang w:val="pt-BR" w:eastAsia="pt-BR"/>
              </w:rPr>
              <w:fldChar w:fldCharType="end"/>
            </w:r>
          </w:p>
        </w:tc>
      </w:tr>
      <w:tr w:rsidR="00835737" w:rsidRPr="00C81065" w14:paraId="472E7D34" w14:textId="77777777" w:rsidTr="0082319A">
        <w:trPr>
          <w:gridAfter w:val="1"/>
          <w:wAfter w:w="146" w:type="dxa"/>
          <w:trHeight w:val="450"/>
        </w:trPr>
        <w:tc>
          <w:tcPr>
            <w:tcW w:w="2224" w:type="dxa"/>
            <w:vMerge w:val="restart"/>
            <w:shd w:val="clear" w:color="auto" w:fill="auto"/>
            <w:noWrap/>
            <w:vAlign w:val="center"/>
            <w:hideMark/>
          </w:tcPr>
          <w:p w14:paraId="6A10EF58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proofErr w:type="spell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AArGO-modified</w:t>
            </w:r>
            <w:proofErr w:type="spellEnd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 xml:space="preserve"> </w:t>
            </w:r>
            <w:proofErr w:type="spell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electrode</w:t>
            </w:r>
            <w:proofErr w:type="spellEnd"/>
          </w:p>
        </w:tc>
        <w:tc>
          <w:tcPr>
            <w:tcW w:w="1956" w:type="dxa"/>
            <w:vMerge w:val="restart"/>
            <w:shd w:val="clear" w:color="auto" w:fill="auto"/>
            <w:noWrap/>
            <w:vAlign w:val="center"/>
            <w:hideMark/>
          </w:tcPr>
          <w:p w14:paraId="26BB03B3" w14:textId="77777777" w:rsidR="00835737" w:rsidRPr="00115F5D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115F5D">
              <w:rPr>
                <w:rFonts w:ascii="Times New Roman" w:eastAsia="Times New Roman" w:hAnsi="Times New Roman"/>
                <w:lang w:val="pt-BR" w:eastAsia="pt-BR"/>
              </w:rPr>
              <w:t>0.5-50</w:t>
            </w:r>
            <w:r w:rsidRPr="009941AC">
              <w:rPr>
                <w:rFonts w:ascii="Times New Roman" w:hAnsi="Times New Roman"/>
              </w:rPr>
              <w:t>.0</w:t>
            </w:r>
          </w:p>
        </w:tc>
        <w:tc>
          <w:tcPr>
            <w:tcW w:w="1916" w:type="dxa"/>
            <w:vMerge w:val="restart"/>
            <w:shd w:val="clear" w:color="auto" w:fill="auto"/>
            <w:noWrap/>
            <w:vAlign w:val="center"/>
            <w:hideMark/>
          </w:tcPr>
          <w:p w14:paraId="6F899FC0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0</w:t>
            </w:r>
            <w:r>
              <w:rPr>
                <w:rFonts w:ascii="Times New Roman" w:eastAsia="Times New Roman" w:hAnsi="Times New Roman"/>
                <w:lang w:val="pt-BR" w:eastAsia="pt-BR"/>
              </w:rPr>
              <w:t>.</w:t>
            </w:r>
            <w:r w:rsidRPr="0096051C">
              <w:rPr>
                <w:rFonts w:ascii="Times New Roman" w:eastAsia="Times New Roman" w:hAnsi="Times New Roman"/>
                <w:lang w:val="pt-BR" w:eastAsia="pt-BR"/>
              </w:rPr>
              <w:t>04</w:t>
            </w:r>
          </w:p>
        </w:tc>
        <w:tc>
          <w:tcPr>
            <w:tcW w:w="1286" w:type="dxa"/>
            <w:vMerge w:val="restart"/>
            <w:shd w:val="clear" w:color="auto" w:fill="auto"/>
            <w:noWrap/>
            <w:vAlign w:val="center"/>
            <w:hideMark/>
          </w:tcPr>
          <w:p w14:paraId="0DC26BA9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DPV</w:t>
            </w:r>
          </w:p>
        </w:tc>
        <w:tc>
          <w:tcPr>
            <w:tcW w:w="1273" w:type="dxa"/>
            <w:vMerge w:val="restart"/>
            <w:shd w:val="clear" w:color="auto" w:fill="auto"/>
            <w:noWrap/>
            <w:vAlign w:val="center"/>
            <w:hideMark/>
          </w:tcPr>
          <w:p w14:paraId="76A8DCE0" w14:textId="77777777" w:rsidR="00835737" w:rsidRPr="007E3A24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val="pt-BR" w:eastAsia="pt-BR"/>
              </w:rPr>
            </w:pPr>
            <w:r w:rsidRPr="007E3A24">
              <w:rPr>
                <w:rFonts w:ascii="Times New Roman" w:eastAsia="Times New Roman" w:hAnsi="Times New Roman"/>
                <w:lang w:val="pt-BR" w:eastAsia="pt-BR"/>
              </w:rPr>
              <w:t xml:space="preserve"> [</w:t>
            </w:r>
            <w:r>
              <w:rPr>
                <w:rFonts w:ascii="Times New Roman" w:eastAsia="Times New Roman" w:hAnsi="Times New Roman"/>
                <w:lang w:val="pt-BR" w:eastAsia="pt-BR"/>
              </w:rPr>
              <w:t>61</w:t>
            </w:r>
            <w:r w:rsidRPr="007E3A24">
              <w:rPr>
                <w:rFonts w:ascii="Times New Roman" w:eastAsia="Times New Roman" w:hAnsi="Times New Roman"/>
                <w:lang w:val="pt-BR" w:eastAsia="pt-BR"/>
              </w:rPr>
              <w:t>]</w:t>
            </w:r>
          </w:p>
        </w:tc>
      </w:tr>
      <w:tr w:rsidR="00835737" w:rsidRPr="009941AC" w14:paraId="09A89685" w14:textId="77777777" w:rsidTr="0082319A">
        <w:trPr>
          <w:trHeight w:val="633"/>
        </w:trPr>
        <w:tc>
          <w:tcPr>
            <w:tcW w:w="2224" w:type="dxa"/>
            <w:vMerge/>
            <w:vAlign w:val="center"/>
            <w:hideMark/>
          </w:tcPr>
          <w:p w14:paraId="5D86093C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</w:p>
        </w:tc>
        <w:tc>
          <w:tcPr>
            <w:tcW w:w="1956" w:type="dxa"/>
            <w:vMerge/>
            <w:vAlign w:val="center"/>
            <w:hideMark/>
          </w:tcPr>
          <w:p w14:paraId="7A1D185D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14:paraId="493C9242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286" w:type="dxa"/>
            <w:vMerge/>
            <w:vAlign w:val="center"/>
            <w:hideMark/>
          </w:tcPr>
          <w:p w14:paraId="33C3CC2A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797C2718" w14:textId="77777777" w:rsidR="00835737" w:rsidRPr="007E3A24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46" w:type="dxa"/>
            <w:shd w:val="clear" w:color="auto" w:fill="auto"/>
            <w:noWrap/>
            <w:vAlign w:val="bottom"/>
            <w:hideMark/>
          </w:tcPr>
          <w:p w14:paraId="2AF4BAA2" w14:textId="77777777" w:rsidR="00835737" w:rsidRPr="00C81065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</w:tr>
      <w:tr w:rsidR="00835737" w:rsidRPr="009941AC" w14:paraId="266B3995" w14:textId="77777777" w:rsidTr="0082319A">
        <w:trPr>
          <w:trHeight w:val="294"/>
        </w:trPr>
        <w:tc>
          <w:tcPr>
            <w:tcW w:w="2224" w:type="dxa"/>
            <w:vMerge w:val="restart"/>
            <w:shd w:val="clear" w:color="auto" w:fill="auto"/>
            <w:noWrap/>
            <w:vAlign w:val="center"/>
            <w:hideMark/>
          </w:tcPr>
          <w:p w14:paraId="23A3329A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MWCNT/</w:t>
            </w:r>
            <w:proofErr w:type="spell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PBnc</w:t>
            </w:r>
            <w:proofErr w:type="spellEnd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/SPE</w:t>
            </w:r>
          </w:p>
        </w:tc>
        <w:tc>
          <w:tcPr>
            <w:tcW w:w="1956" w:type="dxa"/>
            <w:vMerge w:val="restart"/>
            <w:shd w:val="clear" w:color="auto" w:fill="auto"/>
            <w:noWrap/>
            <w:vAlign w:val="center"/>
            <w:hideMark/>
          </w:tcPr>
          <w:p w14:paraId="46D8FFF5" w14:textId="77777777" w:rsidR="00835737" w:rsidRPr="00115F5D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115F5D">
              <w:rPr>
                <w:rFonts w:ascii="Times New Roman" w:eastAsia="Times New Roman" w:hAnsi="Times New Roman"/>
                <w:lang w:val="pt-BR" w:eastAsia="pt-BR"/>
              </w:rPr>
              <w:t>1</w:t>
            </w:r>
            <w:r w:rsidRPr="009941AC">
              <w:rPr>
                <w:rFonts w:ascii="Times New Roman" w:hAnsi="Times New Roman"/>
              </w:rPr>
              <w:t>.0</w:t>
            </w:r>
            <w:r w:rsidRPr="00115F5D">
              <w:rPr>
                <w:rFonts w:ascii="Times New Roman" w:eastAsia="Times New Roman" w:hAnsi="Times New Roman"/>
                <w:lang w:val="pt-BR" w:eastAsia="pt-BR"/>
              </w:rPr>
              <w:t>-10</w:t>
            </w:r>
            <w:r w:rsidRPr="009941AC">
              <w:rPr>
                <w:rFonts w:ascii="Times New Roman" w:hAnsi="Times New Roman"/>
              </w:rPr>
              <w:t>.0</w:t>
            </w:r>
            <w:r w:rsidRPr="00115F5D">
              <w:rPr>
                <w:rFonts w:ascii="Times New Roman" w:eastAsia="Times New Roman" w:hAnsi="Times New Roman"/>
                <w:lang w:val="pt-BR" w:eastAsia="pt-BR"/>
              </w:rPr>
              <w:t> </w:t>
            </w:r>
          </w:p>
        </w:tc>
        <w:tc>
          <w:tcPr>
            <w:tcW w:w="1916" w:type="dxa"/>
            <w:vMerge w:val="restart"/>
            <w:shd w:val="clear" w:color="auto" w:fill="auto"/>
            <w:noWrap/>
            <w:vAlign w:val="center"/>
            <w:hideMark/>
          </w:tcPr>
          <w:p w14:paraId="0DE034D2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0</w:t>
            </w:r>
            <w:r>
              <w:rPr>
                <w:rFonts w:ascii="Times New Roman" w:eastAsia="Times New Roman" w:hAnsi="Times New Roman"/>
                <w:lang w:val="pt-BR" w:eastAsia="pt-BR"/>
              </w:rPr>
              <w:t>.</w:t>
            </w:r>
            <w:r w:rsidRPr="0096051C">
              <w:rPr>
                <w:rFonts w:ascii="Times New Roman" w:eastAsia="Times New Roman" w:hAnsi="Times New Roman"/>
                <w:lang w:val="pt-BR" w:eastAsia="pt-BR"/>
              </w:rPr>
              <w:t>0</w:t>
            </w:r>
            <w:r>
              <w:rPr>
                <w:rFonts w:ascii="Times New Roman" w:eastAsia="Times New Roman" w:hAnsi="Times New Roman"/>
                <w:lang w:val="pt-BR" w:eastAsia="pt-BR"/>
              </w:rPr>
              <w:t>4</w:t>
            </w:r>
          </w:p>
        </w:tc>
        <w:tc>
          <w:tcPr>
            <w:tcW w:w="1286" w:type="dxa"/>
            <w:vMerge w:val="restart"/>
            <w:shd w:val="clear" w:color="auto" w:fill="auto"/>
            <w:noWrap/>
            <w:vAlign w:val="center"/>
            <w:hideMark/>
          </w:tcPr>
          <w:p w14:paraId="6D571575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DPV</w:t>
            </w:r>
          </w:p>
        </w:tc>
        <w:tc>
          <w:tcPr>
            <w:tcW w:w="1273" w:type="dxa"/>
            <w:vMerge w:val="restart"/>
            <w:shd w:val="clear" w:color="auto" w:fill="auto"/>
            <w:noWrap/>
            <w:vAlign w:val="center"/>
            <w:hideMark/>
          </w:tcPr>
          <w:p w14:paraId="40DF1A0C" w14:textId="77777777" w:rsidR="00835737" w:rsidRPr="007E3A24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7E3A24">
              <w:rPr>
                <w:rFonts w:ascii="Times New Roman" w:eastAsia="Times New Roman" w:hAnsi="Times New Roman"/>
                <w:lang w:val="pt-BR" w:eastAsia="pt-BR"/>
              </w:rPr>
              <w:t xml:space="preserve"> [</w:t>
            </w:r>
            <w:r>
              <w:rPr>
                <w:rFonts w:ascii="Times New Roman" w:eastAsia="Times New Roman" w:hAnsi="Times New Roman"/>
                <w:lang w:val="pt-BR" w:eastAsia="pt-BR"/>
              </w:rPr>
              <w:t>62</w:t>
            </w:r>
            <w:r w:rsidRPr="007E3A24">
              <w:rPr>
                <w:rFonts w:ascii="Times New Roman" w:eastAsia="Times New Roman" w:hAnsi="Times New Roman"/>
                <w:lang w:val="pt-BR" w:eastAsia="pt-BR"/>
              </w:rPr>
              <w:t>]</w:t>
            </w:r>
          </w:p>
        </w:tc>
        <w:tc>
          <w:tcPr>
            <w:tcW w:w="146" w:type="dxa"/>
            <w:vAlign w:val="center"/>
            <w:hideMark/>
          </w:tcPr>
          <w:p w14:paraId="49F7119B" w14:textId="77777777" w:rsidR="00835737" w:rsidRPr="00C81065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pt-BR" w:eastAsia="pt-BR"/>
              </w:rPr>
            </w:pPr>
          </w:p>
        </w:tc>
      </w:tr>
      <w:tr w:rsidR="00835737" w:rsidRPr="009941AC" w14:paraId="25A8064B" w14:textId="77777777" w:rsidTr="0082319A">
        <w:trPr>
          <w:trHeight w:val="660"/>
        </w:trPr>
        <w:tc>
          <w:tcPr>
            <w:tcW w:w="2224" w:type="dxa"/>
            <w:vMerge/>
            <w:vAlign w:val="center"/>
            <w:hideMark/>
          </w:tcPr>
          <w:p w14:paraId="7A8CCD89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</w:p>
        </w:tc>
        <w:tc>
          <w:tcPr>
            <w:tcW w:w="1956" w:type="dxa"/>
            <w:vMerge/>
            <w:vAlign w:val="center"/>
            <w:hideMark/>
          </w:tcPr>
          <w:p w14:paraId="06B5FAC2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14:paraId="0E618CDE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286" w:type="dxa"/>
            <w:vMerge/>
            <w:vAlign w:val="center"/>
            <w:hideMark/>
          </w:tcPr>
          <w:p w14:paraId="4F65D074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pt-BR" w:eastAsia="pt-BR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0FFAC7A3" w14:textId="77777777" w:rsidR="00835737" w:rsidRPr="007E3A24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46" w:type="dxa"/>
            <w:shd w:val="clear" w:color="auto" w:fill="auto"/>
            <w:noWrap/>
            <w:vAlign w:val="bottom"/>
            <w:hideMark/>
          </w:tcPr>
          <w:p w14:paraId="22C9755C" w14:textId="77777777" w:rsidR="00835737" w:rsidRPr="00C81065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</w:tr>
      <w:tr w:rsidR="00835737" w:rsidRPr="009941AC" w14:paraId="67EDA2A9" w14:textId="77777777" w:rsidTr="0082319A">
        <w:trPr>
          <w:trHeight w:val="309"/>
        </w:trPr>
        <w:tc>
          <w:tcPr>
            <w:tcW w:w="2224" w:type="dxa"/>
            <w:vMerge w:val="restart"/>
            <w:shd w:val="clear" w:color="auto" w:fill="auto"/>
            <w:noWrap/>
            <w:vAlign w:val="center"/>
            <w:hideMark/>
          </w:tcPr>
          <w:p w14:paraId="3A0623BE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MWCNT-</w:t>
            </w:r>
            <w:proofErr w:type="spellStart"/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SbNP</w:t>
            </w:r>
            <w:proofErr w:type="spellEnd"/>
          </w:p>
        </w:tc>
        <w:tc>
          <w:tcPr>
            <w:tcW w:w="1956" w:type="dxa"/>
            <w:vMerge w:val="restart"/>
            <w:shd w:val="clear" w:color="auto" w:fill="auto"/>
            <w:noWrap/>
            <w:vAlign w:val="center"/>
            <w:hideMark/>
          </w:tcPr>
          <w:p w14:paraId="18960837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0.1-0.7</w:t>
            </w:r>
            <w:r>
              <w:rPr>
                <w:rFonts w:ascii="Times New Roman" w:eastAsia="Times New Roman" w:hAnsi="Times New Roman"/>
                <w:lang w:val="pt-BR" w:eastAsia="pt-BR"/>
              </w:rPr>
              <w:t>0</w:t>
            </w:r>
          </w:p>
        </w:tc>
        <w:tc>
          <w:tcPr>
            <w:tcW w:w="1916" w:type="dxa"/>
            <w:vMerge w:val="restart"/>
            <w:shd w:val="clear" w:color="auto" w:fill="auto"/>
            <w:noWrap/>
            <w:vAlign w:val="center"/>
            <w:hideMark/>
          </w:tcPr>
          <w:p w14:paraId="4EC5F7CD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0</w:t>
            </w:r>
            <w:r>
              <w:rPr>
                <w:rFonts w:ascii="Times New Roman" w:eastAsia="Times New Roman" w:hAnsi="Times New Roman"/>
                <w:lang w:val="pt-BR" w:eastAsia="pt-BR"/>
              </w:rPr>
              <w:t>.</w:t>
            </w:r>
            <w:r w:rsidRPr="0096051C">
              <w:rPr>
                <w:rFonts w:ascii="Times New Roman" w:eastAsia="Times New Roman" w:hAnsi="Times New Roman"/>
                <w:lang w:val="pt-BR" w:eastAsia="pt-BR"/>
              </w:rPr>
              <w:t>02</w:t>
            </w:r>
          </w:p>
        </w:tc>
        <w:tc>
          <w:tcPr>
            <w:tcW w:w="1286" w:type="dxa"/>
            <w:vMerge w:val="restart"/>
            <w:shd w:val="clear" w:color="auto" w:fill="auto"/>
            <w:noWrap/>
            <w:vAlign w:val="center"/>
            <w:hideMark/>
          </w:tcPr>
          <w:p w14:paraId="1BC05ACD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DPV</w:t>
            </w:r>
          </w:p>
        </w:tc>
        <w:tc>
          <w:tcPr>
            <w:tcW w:w="1273" w:type="dxa"/>
            <w:vMerge w:val="restart"/>
            <w:shd w:val="clear" w:color="auto" w:fill="auto"/>
            <w:noWrap/>
            <w:vAlign w:val="center"/>
            <w:hideMark/>
          </w:tcPr>
          <w:p w14:paraId="3D683075" w14:textId="77777777" w:rsidR="00835737" w:rsidRPr="007E3A24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val="pt-BR" w:eastAsia="pt-BR"/>
              </w:rPr>
            </w:pPr>
            <w:r w:rsidRPr="007E3A24">
              <w:rPr>
                <w:rFonts w:ascii="Times New Roman" w:eastAsia="Times New Roman" w:hAnsi="Times New Roman"/>
                <w:lang w:val="pt-BR" w:eastAsia="pt-BR"/>
              </w:rPr>
              <w:t xml:space="preserve"> [</w:t>
            </w:r>
            <w:r>
              <w:rPr>
                <w:rFonts w:ascii="Times New Roman" w:eastAsia="Times New Roman" w:hAnsi="Times New Roman"/>
                <w:lang w:val="pt-BR" w:eastAsia="pt-BR"/>
              </w:rPr>
              <w:t>63</w:t>
            </w:r>
            <w:r w:rsidRPr="007E3A24">
              <w:rPr>
                <w:rFonts w:ascii="Times New Roman" w:eastAsia="Times New Roman" w:hAnsi="Times New Roman"/>
                <w:lang w:val="pt-BR" w:eastAsia="pt-BR"/>
              </w:rPr>
              <w:t>]</w:t>
            </w:r>
          </w:p>
        </w:tc>
        <w:tc>
          <w:tcPr>
            <w:tcW w:w="146" w:type="dxa"/>
            <w:vAlign w:val="center"/>
            <w:hideMark/>
          </w:tcPr>
          <w:p w14:paraId="6117C501" w14:textId="77777777" w:rsidR="00835737" w:rsidRPr="00C81065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pt-BR" w:eastAsia="pt-BR"/>
              </w:rPr>
            </w:pPr>
          </w:p>
        </w:tc>
      </w:tr>
      <w:tr w:rsidR="00835737" w:rsidRPr="009941AC" w14:paraId="6F8085C1" w14:textId="77777777" w:rsidTr="0082319A">
        <w:trPr>
          <w:trHeight w:val="816"/>
        </w:trPr>
        <w:tc>
          <w:tcPr>
            <w:tcW w:w="2224" w:type="dxa"/>
            <w:vMerge/>
            <w:vAlign w:val="center"/>
            <w:hideMark/>
          </w:tcPr>
          <w:p w14:paraId="22860B6F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</w:p>
        </w:tc>
        <w:tc>
          <w:tcPr>
            <w:tcW w:w="1956" w:type="dxa"/>
            <w:vMerge/>
            <w:vAlign w:val="center"/>
            <w:hideMark/>
          </w:tcPr>
          <w:p w14:paraId="0B71533B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14:paraId="1592B0DD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286" w:type="dxa"/>
            <w:vMerge/>
            <w:vAlign w:val="center"/>
            <w:hideMark/>
          </w:tcPr>
          <w:p w14:paraId="3797CB21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55587758" w14:textId="77777777" w:rsidR="00835737" w:rsidRPr="00C81065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lang w:val="pt-BR" w:eastAsia="pt-BR"/>
              </w:rPr>
            </w:pPr>
          </w:p>
        </w:tc>
        <w:tc>
          <w:tcPr>
            <w:tcW w:w="146" w:type="dxa"/>
            <w:shd w:val="clear" w:color="auto" w:fill="auto"/>
            <w:noWrap/>
            <w:vAlign w:val="bottom"/>
            <w:hideMark/>
          </w:tcPr>
          <w:p w14:paraId="3DE75A50" w14:textId="77777777" w:rsidR="00835737" w:rsidRPr="00C81065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</w:tr>
      <w:tr w:rsidR="00835737" w:rsidRPr="009941AC" w14:paraId="4BA85E0C" w14:textId="77777777" w:rsidTr="0082319A">
        <w:trPr>
          <w:trHeight w:val="368"/>
        </w:trPr>
        <w:tc>
          <w:tcPr>
            <w:tcW w:w="2224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1D06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SHL</w:t>
            </w:r>
            <w:r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-GP/WP</w:t>
            </w:r>
          </w:p>
        </w:tc>
        <w:tc>
          <w:tcPr>
            <w:tcW w:w="195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35D6" w14:textId="77777777" w:rsidR="00835737" w:rsidRPr="00115F5D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115F5D">
              <w:rPr>
                <w:rFonts w:ascii="Times New Roman" w:eastAsia="Times New Roman" w:hAnsi="Times New Roman"/>
                <w:lang w:val="pt-BR" w:eastAsia="pt-BR"/>
              </w:rPr>
              <w:t>5</w:t>
            </w:r>
            <w:r w:rsidRPr="009941AC">
              <w:rPr>
                <w:rFonts w:ascii="Times New Roman" w:hAnsi="Times New Roman"/>
              </w:rPr>
              <w:t>.0</w:t>
            </w:r>
            <w:r w:rsidRPr="00115F5D">
              <w:rPr>
                <w:rFonts w:ascii="Times New Roman" w:eastAsia="Times New Roman" w:hAnsi="Times New Roman"/>
                <w:lang w:val="pt-BR" w:eastAsia="pt-BR"/>
              </w:rPr>
              <w:t>-100</w:t>
            </w:r>
          </w:p>
        </w:tc>
        <w:tc>
          <w:tcPr>
            <w:tcW w:w="191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3799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0</w:t>
            </w:r>
            <w:r>
              <w:rPr>
                <w:rFonts w:ascii="Times New Roman" w:eastAsia="Times New Roman" w:hAnsi="Times New Roman"/>
                <w:lang w:val="pt-BR" w:eastAsia="pt-BR"/>
              </w:rPr>
              <w:t>.</w:t>
            </w:r>
            <w:r w:rsidRPr="0096051C">
              <w:rPr>
                <w:rFonts w:ascii="Times New Roman" w:eastAsia="Times New Roman" w:hAnsi="Times New Roman"/>
                <w:lang w:val="pt-BR" w:eastAsia="pt-BR"/>
              </w:rPr>
              <w:t>4</w:t>
            </w:r>
            <w:r>
              <w:rPr>
                <w:rFonts w:ascii="Times New Roman" w:eastAsia="Times New Roman" w:hAnsi="Times New Roman"/>
                <w:lang w:val="pt-BR" w:eastAsia="pt-BR"/>
              </w:rPr>
              <w:t>0</w:t>
            </w:r>
          </w:p>
        </w:tc>
        <w:tc>
          <w:tcPr>
            <w:tcW w:w="128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AECB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pt-BR" w:eastAsia="pt-BR"/>
              </w:rPr>
            </w:pPr>
            <w:r w:rsidRPr="0096051C">
              <w:rPr>
                <w:rFonts w:ascii="Times New Roman" w:eastAsia="Times New Roman" w:hAnsi="Times New Roman"/>
                <w:lang w:val="pt-BR" w:eastAsia="pt-BR"/>
              </w:rPr>
              <w:t>DPV</w:t>
            </w:r>
          </w:p>
        </w:tc>
        <w:tc>
          <w:tcPr>
            <w:tcW w:w="127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5CCA" w14:textId="77777777" w:rsidR="00835737" w:rsidRPr="003C5422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pt-BR" w:eastAsia="pt-BR"/>
              </w:rPr>
            </w:pPr>
            <w:proofErr w:type="spellStart"/>
            <w:r w:rsidRPr="003C5422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This</w:t>
            </w:r>
            <w:proofErr w:type="spellEnd"/>
            <w:r w:rsidRPr="003C5422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 xml:space="preserve"> </w:t>
            </w:r>
            <w:proofErr w:type="spellStart"/>
            <w:r w:rsidRPr="003C5422">
              <w:rPr>
                <w:rFonts w:ascii="Times New Roman" w:eastAsia="Times New Roman" w:hAnsi="Times New Roman"/>
                <w:b/>
                <w:bCs/>
                <w:lang w:val="pt-BR" w:eastAsia="pt-BR"/>
              </w:rPr>
              <w:t>work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01379053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pt-BR" w:eastAsia="pt-BR"/>
              </w:rPr>
            </w:pPr>
          </w:p>
        </w:tc>
      </w:tr>
      <w:tr w:rsidR="00835737" w:rsidRPr="009941AC" w14:paraId="7AB81BA5" w14:textId="77777777" w:rsidTr="0082319A">
        <w:trPr>
          <w:trHeight w:val="324"/>
        </w:trPr>
        <w:tc>
          <w:tcPr>
            <w:tcW w:w="2224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152CDE69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  <w:tc>
          <w:tcPr>
            <w:tcW w:w="1956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755D1E3C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  <w:tc>
          <w:tcPr>
            <w:tcW w:w="1916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105DD790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  <w:tc>
          <w:tcPr>
            <w:tcW w:w="1286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7B237B36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1B3AC6E6" w14:textId="77777777" w:rsidR="00835737" w:rsidRPr="0096051C" w:rsidRDefault="00835737" w:rsidP="008231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  <w:tc>
          <w:tcPr>
            <w:tcW w:w="14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ED17D5" w14:textId="77777777" w:rsidR="00835737" w:rsidRPr="0096051C" w:rsidRDefault="00835737" w:rsidP="00823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4546A"/>
                <w:lang w:val="pt-BR" w:eastAsia="pt-BR"/>
              </w:rPr>
            </w:pPr>
          </w:p>
        </w:tc>
      </w:tr>
    </w:tbl>
    <w:p w14:paraId="04097DE9" w14:textId="77777777" w:rsidR="00835737" w:rsidRDefault="00835737" w:rsidP="00835737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Paper-based </w:t>
      </w:r>
      <w:proofErr w:type="spellStart"/>
      <w:r w:rsidRPr="009E2D96">
        <w:rPr>
          <w:rFonts w:ascii="Times New Roman" w:hAnsi="Times New Roman"/>
          <w:b/>
          <w:bCs/>
          <w:color w:val="2E2E2E"/>
          <w:sz w:val="20"/>
          <w:szCs w:val="20"/>
        </w:rPr>
        <w:t>rGNR</w:t>
      </w:r>
      <w:proofErr w:type="spellEnd"/>
      <w:r>
        <w:rPr>
          <w:rFonts w:ascii="Times New Roman" w:hAnsi="Times New Roman"/>
          <w:b/>
          <w:bCs/>
          <w:color w:val="2E2E2E"/>
          <w:sz w:val="20"/>
          <w:szCs w:val="20"/>
        </w:rPr>
        <w:t>:</w:t>
      </w:r>
      <w:r w:rsidRPr="009E2D96">
        <w:rPr>
          <w:rFonts w:ascii="Georgia" w:hAnsi="Georgia"/>
          <w:color w:val="2E2E2E"/>
          <w:sz w:val="27"/>
          <w:szCs w:val="27"/>
        </w:rPr>
        <w:t xml:space="preserve"> </w:t>
      </w:r>
      <w:r w:rsidRPr="009E2D96">
        <w:rPr>
          <w:rFonts w:ascii="Times New Roman" w:hAnsi="Times New Roman"/>
          <w:color w:val="2E2E2E"/>
          <w:sz w:val="20"/>
          <w:szCs w:val="20"/>
        </w:rPr>
        <w:t>paper-based fully printed electrochemical sensor with reduced graphene nanoribbons</w:t>
      </w:r>
      <w:r w:rsidRPr="009E2D96">
        <w:rPr>
          <w:rFonts w:ascii="Times New Roman" w:hAnsi="Times New Roman"/>
          <w:sz w:val="20"/>
          <w:szCs w:val="20"/>
        </w:rPr>
        <w:t>;</w:t>
      </w:r>
      <w:r w:rsidRPr="00BC6F6E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BC6F6E">
        <w:rPr>
          <w:rFonts w:ascii="Times New Roman" w:hAnsi="Times New Roman"/>
          <w:b/>
          <w:bCs/>
          <w:sz w:val="20"/>
          <w:szCs w:val="20"/>
        </w:rPr>
        <w:t>AArGO</w:t>
      </w:r>
      <w:proofErr w:type="spellEnd"/>
      <w:r w:rsidRPr="00BC6F6E">
        <w:rPr>
          <w:rFonts w:ascii="Times New Roman" w:hAnsi="Times New Roman"/>
          <w:b/>
          <w:bCs/>
          <w:sz w:val="20"/>
          <w:szCs w:val="20"/>
        </w:rPr>
        <w:t>-modified electrode:</w:t>
      </w:r>
      <w:r w:rsidRPr="00BC6F6E">
        <w:rPr>
          <w:sz w:val="20"/>
          <w:szCs w:val="20"/>
        </w:rPr>
        <w:t xml:space="preserve"> </w:t>
      </w:r>
      <w:r w:rsidRPr="00BC6F6E">
        <w:rPr>
          <w:rFonts w:ascii="Times New Roman" w:hAnsi="Times New Roman"/>
          <w:sz w:val="20"/>
          <w:szCs w:val="20"/>
        </w:rPr>
        <w:t xml:space="preserve">ascorbic acid reduced graphene oxide-modified electrode; </w:t>
      </w:r>
      <w:r w:rsidRPr="00BC6F6E">
        <w:rPr>
          <w:rFonts w:ascii="Times New Roman" w:hAnsi="Times New Roman"/>
          <w:b/>
          <w:bCs/>
          <w:sz w:val="20"/>
          <w:szCs w:val="20"/>
        </w:rPr>
        <w:t>MWCNT/</w:t>
      </w:r>
      <w:proofErr w:type="spellStart"/>
      <w:r w:rsidRPr="00BC6F6E">
        <w:rPr>
          <w:rFonts w:ascii="Times New Roman" w:hAnsi="Times New Roman"/>
          <w:b/>
          <w:bCs/>
          <w:sz w:val="20"/>
          <w:szCs w:val="20"/>
        </w:rPr>
        <w:t>PBnc</w:t>
      </w:r>
      <w:proofErr w:type="spellEnd"/>
      <w:r w:rsidRPr="00BC6F6E">
        <w:rPr>
          <w:rFonts w:ascii="Times New Roman" w:hAnsi="Times New Roman"/>
          <w:b/>
          <w:bCs/>
          <w:sz w:val="20"/>
          <w:szCs w:val="20"/>
        </w:rPr>
        <w:t xml:space="preserve">/SPE: </w:t>
      </w:r>
      <w:r w:rsidRPr="00BC6F6E">
        <w:rPr>
          <w:rFonts w:ascii="Times New Roman" w:hAnsi="Times New Roman"/>
          <w:sz w:val="20"/>
          <w:szCs w:val="20"/>
        </w:rPr>
        <w:t xml:space="preserve">multiwalled nanotubes decorated with Prussian blue </w:t>
      </w:r>
      <w:proofErr w:type="spellStart"/>
      <w:r w:rsidRPr="00BC6F6E">
        <w:rPr>
          <w:rFonts w:ascii="Times New Roman" w:hAnsi="Times New Roman"/>
          <w:sz w:val="20"/>
          <w:szCs w:val="20"/>
        </w:rPr>
        <w:t>nanocubes</w:t>
      </w:r>
      <w:proofErr w:type="spellEnd"/>
      <w:r w:rsidRPr="00BC6F6E">
        <w:rPr>
          <w:rFonts w:ascii="Times New Roman" w:hAnsi="Times New Roman"/>
          <w:sz w:val="20"/>
          <w:szCs w:val="20"/>
        </w:rPr>
        <w:t xml:space="preserve"> modified screen-printed electrode; </w:t>
      </w:r>
      <w:r w:rsidRPr="00BC6F6E">
        <w:rPr>
          <w:rFonts w:ascii="Times New Roman" w:hAnsi="Times New Roman"/>
          <w:b/>
          <w:bCs/>
          <w:sz w:val="20"/>
          <w:szCs w:val="20"/>
        </w:rPr>
        <w:t>MWCNT-</w:t>
      </w:r>
      <w:proofErr w:type="spellStart"/>
      <w:r w:rsidRPr="00BC6F6E">
        <w:rPr>
          <w:rFonts w:ascii="Times New Roman" w:hAnsi="Times New Roman"/>
          <w:b/>
          <w:bCs/>
          <w:sz w:val="20"/>
          <w:szCs w:val="20"/>
        </w:rPr>
        <w:t>SbNP</w:t>
      </w:r>
      <w:proofErr w:type="spellEnd"/>
      <w:r w:rsidRPr="00BC6F6E">
        <w:rPr>
          <w:rFonts w:ascii="Times New Roman" w:hAnsi="Times New Roman"/>
          <w:b/>
          <w:bCs/>
          <w:sz w:val="20"/>
          <w:szCs w:val="20"/>
        </w:rPr>
        <w:t xml:space="preserve">: </w:t>
      </w:r>
      <w:r w:rsidRPr="00BC6F6E">
        <w:rPr>
          <w:rFonts w:ascii="Times New Roman" w:hAnsi="Times New Roman"/>
          <w:sz w:val="20"/>
          <w:szCs w:val="20"/>
        </w:rPr>
        <w:t>Carbon nanotubes modified with antimony nanoparticles in a paraffin composite electrode.</w:t>
      </w:r>
    </w:p>
    <w:p w14:paraId="1D5DF557" w14:textId="77777777" w:rsidR="00835737" w:rsidRDefault="00835737"/>
    <w:sectPr w:rsidR="008357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37"/>
    <w:rsid w:val="0083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16E5"/>
  <w15:chartTrackingRefBased/>
  <w15:docId w15:val="{AD3769A8-FA21-4A3C-979E-3034A9E6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737"/>
    <w:rPr>
      <w:rFonts w:ascii="Calibri" w:eastAsia="Calibri" w:hAnsi="Calibri" w:cs="Times New Roman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835737"/>
    <w:pPr>
      <w:spacing w:line="240" w:lineRule="auto"/>
      <w:jc w:val="both"/>
    </w:pPr>
    <w:rPr>
      <w:rFonts w:cs="Calibri"/>
      <w:noProof/>
    </w:rPr>
  </w:style>
  <w:style w:type="character" w:customStyle="1" w:styleId="EndNoteBibliographyChar">
    <w:name w:val="EndNote Bibliography Char"/>
    <w:link w:val="EndNoteBibliography"/>
    <w:rsid w:val="00835737"/>
    <w:rPr>
      <w:rFonts w:ascii="Calibri" w:eastAsia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Stefano</dc:creator>
  <cp:keywords/>
  <dc:description/>
  <cp:lastModifiedBy>Jéssica Stefano</cp:lastModifiedBy>
  <cp:revision>1</cp:revision>
  <dcterms:created xsi:type="dcterms:W3CDTF">2021-09-02T16:44:00Z</dcterms:created>
  <dcterms:modified xsi:type="dcterms:W3CDTF">2021-09-02T16:50:00Z</dcterms:modified>
</cp:coreProperties>
</file>